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w:t>
      </w:r>
      <w:r w:rsidR="009D7B56" w:rsidRPr="007A54A3">
        <w:rPr>
          <w:rFonts w:ascii="Arial" w:hAnsi="Arial" w:cs="Arial"/>
          <w:spacing w:val="-3"/>
          <w:sz w:val="20"/>
        </w:rPr>
        <w:lastRenderedPageBreak/>
        <w:t xml:space="preserve">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w:t>
      </w:r>
      <w:r w:rsidRPr="007A54A3">
        <w:rPr>
          <w:rFonts w:ascii="Arial" w:hAnsi="Arial" w:cs="Arial"/>
          <w:sz w:val="20"/>
        </w:rPr>
        <w:lastRenderedPageBreak/>
        <w:t xml:space="preserve">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lastRenderedPageBreak/>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w:t>
      </w:r>
      <w:r w:rsidR="00EF5547" w:rsidRPr="007A54A3">
        <w:rPr>
          <w:b/>
          <w:bCs/>
          <w:sz w:val="20"/>
          <w:szCs w:val="20"/>
          <w:highlight w:val="yellow"/>
        </w:rPr>
        <w:lastRenderedPageBreak/>
        <w:t xml:space="preserve">(1981)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lastRenderedPageBreak/>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lastRenderedPageBreak/>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lastRenderedPageBreak/>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xml:space="preserve">). If Legislature fails to appropriate or allot necessary funds, or Board fails to allocate necessary funds, then University will issue written notice to Contractor and University may </w:t>
      </w:r>
      <w:r w:rsidR="00925A46" w:rsidRPr="007A54A3">
        <w:rPr>
          <w:rFonts w:ascii="Arial" w:eastAsia="Arial Unicode MS" w:hAnsi="Arial" w:cs="Arial"/>
          <w:sz w:val="20"/>
          <w:szCs w:val="20"/>
        </w:rPr>
        <w:lastRenderedPageBreak/>
        <w:t>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lastRenderedPageBreak/>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w:t>
      </w:r>
      <w:r w:rsidR="00237315" w:rsidRPr="007A54A3">
        <w:rPr>
          <w:rFonts w:ascii="Arial" w:eastAsia="Arial Unicode MS" w:hAnsi="Arial" w:cs="Arial"/>
          <w:sz w:val="20"/>
        </w:rPr>
        <w:lastRenderedPageBreak/>
        <w:t>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w:t>
      </w:r>
      <w:r w:rsidR="002A2C50" w:rsidRPr="007A54A3">
        <w:rPr>
          <w:rFonts w:ascii="Arial" w:hAnsi="Arial" w:cs="Arial"/>
          <w:sz w:val="20"/>
        </w:rPr>
        <w:lastRenderedPageBreak/>
        <w:t xml:space="preserve">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 xml:space="preserve">Chapter 2260 is Contractor’s sole and exclusive </w:t>
      </w:r>
      <w:r w:rsidR="00F9759F" w:rsidRPr="007A54A3">
        <w:rPr>
          <w:rFonts w:ascii="Arial" w:hAnsi="Arial" w:cs="Arial"/>
          <w:sz w:val="20"/>
        </w:rPr>
        <w:lastRenderedPageBreak/>
        <w:t>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w:t>
      </w:r>
      <w:r w:rsidR="002541FD" w:rsidRPr="007A54A3">
        <w:rPr>
          <w:rFonts w:ascii="Arial" w:hAnsi="Arial" w:cs="Arial"/>
          <w:bCs/>
          <w:spacing w:val="-3"/>
          <w:sz w:val="20"/>
        </w:rPr>
        <w:lastRenderedPageBreak/>
        <w:t xml:space="preserve">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w:t>
      </w:r>
      <w:r w:rsidR="002D5B57" w:rsidRPr="001B2733">
        <w:rPr>
          <w:rFonts w:ascii="Arial" w:hAnsi="Arial" w:cs="Arial"/>
          <w:sz w:val="20"/>
        </w:rPr>
        <w:lastRenderedPageBreak/>
        <w:t>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xml:space="preserve">, Contractor will allow, during and for a period of not less than four (4) years after the expiration or termination of this Agreement, access to this Agreement and its books, documents, and records; and contracts between Contractor and </w:t>
      </w:r>
      <w:r w:rsidR="002D5B57" w:rsidRPr="001B2733">
        <w:rPr>
          <w:rFonts w:ascii="Arial" w:hAnsi="Arial" w:cs="Arial"/>
          <w:sz w:val="20"/>
        </w:rPr>
        <w:lastRenderedPageBreak/>
        <w:t>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w:t>
      </w:r>
      <w:r>
        <w:rPr>
          <w:rFonts w:ascii="Arial" w:hAnsi="Arial" w:cs="Arial"/>
          <w:spacing w:val="-3"/>
          <w:sz w:val="20"/>
        </w:rPr>
        <w:lastRenderedPageBreak/>
        <w:t xml:space="preserve">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w:t>
      </w:r>
      <w:r>
        <w:rPr>
          <w:rFonts w:ascii="Arial" w:eastAsia="Arial Unicode MS" w:hAnsi="Arial" w:cs="Arial"/>
          <w:sz w:val="20"/>
        </w:rPr>
        <w:lastRenderedPageBreak/>
        <w:t xml:space="preserve">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w:t>
      </w:r>
      <w:r w:rsidRPr="007A54A3">
        <w:rPr>
          <w:rFonts w:ascii="Arial" w:eastAsia="Calibri" w:hAnsi="Arial" w:cs="Arial"/>
          <w:spacing w:val="-3"/>
          <w:sz w:val="20"/>
        </w:rPr>
        <w:lastRenderedPageBreak/>
        <w:t>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lastRenderedPageBreak/>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w:t>
      </w:r>
      <w:r w:rsidRPr="008A78C4">
        <w:rPr>
          <w:rFonts w:ascii="Arial" w:hAnsi="Arial" w:cs="Arial"/>
          <w:sz w:val="20"/>
        </w:rPr>
        <w:lastRenderedPageBreak/>
        <w:t>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 xml:space="preserve">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w:t>
      </w:r>
      <w:r w:rsidRPr="008A78C4">
        <w:rPr>
          <w:rFonts w:ascii="Arial" w:hAnsi="Arial" w:cs="Arial"/>
          <w:sz w:val="20"/>
        </w:rPr>
        <w:lastRenderedPageBreak/>
        <w:t>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lastRenderedPageBreak/>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4B048F">
      <w:headerReference w:type="default" r:id="rId121"/>
      <w:footerReference w:type="default" r:id="rId122"/>
      <w:footerReference w:type="first" r:id="rId123"/>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892D" w14:textId="77777777" w:rsidR="0004627F" w:rsidRDefault="0004627F">
      <w:pPr>
        <w:spacing w:line="20" w:lineRule="exact"/>
      </w:pPr>
    </w:p>
  </w:endnote>
  <w:endnote w:type="continuationSeparator" w:id="0">
    <w:p w14:paraId="700B3A00" w14:textId="77777777" w:rsidR="0004627F" w:rsidRDefault="0004627F">
      <w:r>
        <w:t xml:space="preserve"> </w:t>
      </w:r>
    </w:p>
  </w:endnote>
  <w:endnote w:type="continuationNotice" w:id="1">
    <w:p w14:paraId="652B29BD" w14:textId="77777777" w:rsidR="0004627F" w:rsidRDefault="000462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302573"/>
      <w:docPartObj>
        <w:docPartGallery w:val="Page Numbers (Bottom of Page)"/>
        <w:docPartUnique/>
      </w:docPartObj>
    </w:sdtPr>
    <w:sdtEndPr/>
    <w:sdtContent>
      <w:sdt>
        <w:sdtPr>
          <w:id w:val="1728636285"/>
          <w:docPartObj>
            <w:docPartGallery w:val="Page Numbers (Top of Page)"/>
            <w:docPartUnique/>
          </w:docPartObj>
        </w:sdtPr>
        <w:sdtEndPr/>
        <w:sdtContent>
          <w:p w14:paraId="4264E6F3" w14:textId="77777777" w:rsidR="004B048F" w:rsidRDefault="004B048F">
            <w:pPr>
              <w:pStyle w:val="Footer"/>
              <w:jc w:val="center"/>
            </w:pPr>
          </w:p>
          <w:p w14:paraId="5DE016FE" w14:textId="3FE7F20B" w:rsidR="004B048F" w:rsidRDefault="004B048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27B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27BE">
              <w:rPr>
                <w:b/>
                <w:bCs/>
                <w:noProof/>
              </w:rPr>
              <w:t>1</w:t>
            </w:r>
            <w:r>
              <w:rPr>
                <w:b/>
                <w:bCs/>
                <w:szCs w:val="24"/>
              </w:rPr>
              <w:fldChar w:fldCharType="end"/>
            </w:r>
          </w:p>
        </w:sdtContent>
      </w:sdt>
    </w:sdtContent>
  </w:sdt>
  <w:p w14:paraId="1BE71749" w14:textId="77777777" w:rsidR="002D0316" w:rsidRDefault="002D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44882"/>
      <w:docPartObj>
        <w:docPartGallery w:val="Page Numbers (Bottom of Page)"/>
        <w:docPartUnique/>
      </w:docPartObj>
    </w:sdtPr>
    <w:sdtEndPr>
      <w:rPr>
        <w:noProof/>
      </w:rPr>
    </w:sdtEndPr>
    <w:sdtContent>
      <w:p w14:paraId="47E64338" w14:textId="0761219D" w:rsidR="004B048F" w:rsidRDefault="004B04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D7B122" w14:textId="77777777" w:rsidR="004B048F" w:rsidRDefault="004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4B48" w14:textId="77777777" w:rsidR="0004627F" w:rsidRDefault="0004627F">
      <w:r>
        <w:separator/>
      </w:r>
    </w:p>
  </w:footnote>
  <w:footnote w:type="continuationSeparator" w:id="0">
    <w:p w14:paraId="24BCD8EE" w14:textId="77777777" w:rsidR="0004627F" w:rsidRDefault="0004627F">
      <w:r>
        <w:continuationSeparator/>
      </w:r>
    </w:p>
  </w:footnote>
  <w:footnote w:type="continuationNotice" w:id="1">
    <w:p w14:paraId="16313FA5" w14:textId="77777777" w:rsidR="0004627F" w:rsidRDefault="00046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799812"/>
      <w:docPartObj>
        <w:docPartGallery w:val="Watermarks"/>
        <w:docPartUnique/>
      </w:docPartObj>
    </w:sdtPr>
    <w:sdtEndPr/>
    <w:sdtContent>
      <w:p w14:paraId="53F30DB4" w14:textId="7B811828" w:rsidR="004B048F" w:rsidRDefault="0004627F">
        <w:pPr>
          <w:pStyle w:val="Header"/>
        </w:pPr>
        <w:r>
          <w:rPr>
            <w:noProof/>
          </w:rPr>
          <w:pict w14:anchorId="28235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27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048F"/>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3DF7"/>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18B7"/>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27BE"/>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4B048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24" Type="http://schemas.openxmlformats.org/officeDocument/2006/relationships/fontTable" Target="fontTable.xml"/><Relationship Id="rId54"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49" Type="http://schemas.openxmlformats.org/officeDocument/2006/relationships/hyperlink" Target="http://www.statutes.legis.state.tx.us/Docs/ED/htm/ED.73.htm"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44" Type="http://schemas.openxmlformats.org/officeDocument/2006/relationships/hyperlink" Target="http://www.statutes.legis.state.tx.us/Docs/GV/htm/GV.2252.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theme" Target="theme/theme1.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www.uthouston.edu/hoop/standards-of-conduct-guide.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62" Type="http://schemas.openxmlformats.org/officeDocument/2006/relationships/hyperlink" Target="http://www.statutes.legis.state.tx.us/Docs/GV/htm/GV.2260.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111" Type="http://schemas.openxmlformats.org/officeDocument/2006/relationships/hyperlink" Target="http://www.statutes.legis.state.tx.us/Docs/GV/htm/GV.808.htm" TargetMode="External"/><Relationship Id="rId15" Type="http://schemas.openxmlformats.org/officeDocument/2006/relationships/hyperlink" Target="http://www.statutes.legis.state.tx.us/Docs/GV/htm/GV.2252.htm" TargetMode="External"/><Relationship Id="rId36" Type="http://schemas.openxmlformats.org/officeDocument/2006/relationships/hyperlink" Target="http://www.utsystem.edu/board-of-regents/policy-library/policies/uts165-information-resources-use-and-security-policy"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h.edu/hoo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2018-06-06T20:19:00Z</cp:lastPrinted>
  <dcterms:created xsi:type="dcterms:W3CDTF">2020-07-08T05:41:00Z</dcterms:created>
  <dcterms:modified xsi:type="dcterms:W3CDTF">2020-07-08T05:41:00Z</dcterms:modified>
</cp:coreProperties>
</file>